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b w:val="1"/>
          <w:bCs w:val="1"/>
          <w:rtl w:val="0"/>
        </w:rPr>
        <w:t xml:space="preserve">Short-Form Non-Circumvention &amp; Non-Disclosure Agreement (NC/NDA)</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This Agreement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made on [Date] between:</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[Broker A Name / Company]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having its registered office at [Address] (“Introducing Broker”); and</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[Broker B Name / Company]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having its registered office at [Address] (“Receiving Broker”).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Collectively referred to as the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Parties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ookmark=id.687nx39ksq3w" w:id="0"/>
    <w:bookmarkEnd w:id="0"/>
    <w:p w:rsidR="00000000" w:rsidDel="00000000" w:rsidP="00000000" w:rsidRDefault="00000000" w:rsidRPr="00000000" w14:paraId="00000007">
      <w:pPr>
        <w:pStyle w:val="Heading2"/>
        <w:rPr/>
      </w:pPr>
      <w:r w:rsidDel="00000000" w:rsidR="00000000" w:rsidRPr="00000000">
        <w:rPr>
          <w:b w:val="1"/>
          <w:bCs w:val="1"/>
          <w:rtl w:val="0"/>
        </w:rPr>
        <w:t xml:space="preserve">1. Purpose</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Parties wish to cooperate in the potential sale and purchase of vessels and/or chartering opportunities (the “Transactions”). This Agreement sets out terms to protect introductions, confidentiality, and commission entitlements.</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ookmark=id.gybr2s9n5joo" w:id="1"/>
    <w:bookmarkEnd w:id="1"/>
    <w:p w:rsidR="00000000" w:rsidDel="00000000" w:rsidP="00000000" w:rsidRDefault="00000000" w:rsidRPr="00000000" w14:paraId="0000000A">
      <w:pPr>
        <w:pStyle w:val="Heading2"/>
        <w:rPr/>
      </w:pPr>
      <w:r w:rsidDel="00000000" w:rsidR="00000000" w:rsidRPr="00000000">
        <w:rPr>
          <w:b w:val="1"/>
          <w:bCs w:val="1"/>
          <w:rtl w:val="0"/>
        </w:rPr>
        <w:t xml:space="preserve">2. Non-Circumvention</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Receiving Broker agrees not to contact, negotiate, or conclude any Transaction directly with any buyer, seller, owner, charterer, or counterparty introduced by the Introducing Broker, without the Introducing Broker’s involvement.</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clause remains valid for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24 months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from the date of introduction.</w:t>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ookmark=id.vpll9peesch8" w:id="2"/>
    <w:bookmarkEnd w:id="2"/>
    <w:p w:rsidR="00000000" w:rsidDel="00000000" w:rsidP="00000000" w:rsidRDefault="00000000" w:rsidRPr="00000000" w14:paraId="0000000E">
      <w:pPr>
        <w:pStyle w:val="Heading2"/>
        <w:rPr/>
      </w:pPr>
      <w:r w:rsidDel="00000000" w:rsidR="00000000" w:rsidRPr="00000000">
        <w:rPr>
          <w:b w:val="1"/>
          <w:bCs w:val="1"/>
          <w:rtl w:val="0"/>
        </w:rPr>
        <w:t xml:space="preserve">3. Confidentiality</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information shared, including but not limited to vessel details, financial data, principals’ identities, and negotiation terms, shall be kept strictly confidential.</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Disclosure is permitted only to principals directly involved in the Transaction and only under equivalent confidentiality undertakings.</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obligation survives for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3 years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after the Agreement expires or terminates.</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ookmark=id.o7nyymauhm5e" w:id="3"/>
    <w:bookmarkEnd w:id="3"/>
    <w:p w:rsidR="00000000" w:rsidDel="00000000" w:rsidP="00000000" w:rsidRDefault="00000000" w:rsidRPr="00000000" w14:paraId="00000013">
      <w:pPr>
        <w:pStyle w:val="Heading2"/>
        <w:rPr/>
      </w:pPr>
      <w:r w:rsidDel="00000000" w:rsidR="00000000" w:rsidRPr="00000000">
        <w:rPr>
          <w:b w:val="1"/>
          <w:bCs w:val="1"/>
          <w:rtl w:val="0"/>
        </w:rPr>
        <w:t xml:space="preserve">4. Brokerage Commission Sharing</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Commission shall be shared equally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50/50 split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between the Parties unless otherwise agreed in writing.</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Commission is payable upon successful delivery/closing and receipt from the principals.</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Parties shall cooperate to enforce commission collection if unpaid by the principals.</w:t>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ookmark=id.p8k6a3mapv51" w:id="4"/>
    <w:bookmarkEnd w:id="4"/>
    <w:p w:rsidR="00000000" w:rsidDel="00000000" w:rsidP="00000000" w:rsidRDefault="00000000" w:rsidRPr="00000000" w14:paraId="00000018">
      <w:pPr>
        <w:pStyle w:val="Heading2"/>
        <w:rPr/>
      </w:pPr>
      <w:r w:rsidDel="00000000" w:rsidR="00000000" w:rsidRPr="00000000">
        <w:rPr>
          <w:b w:val="1"/>
          <w:bCs w:val="1"/>
          <w:rtl w:val="0"/>
        </w:rPr>
        <w:t xml:space="preserve">5. Term &amp; Duration</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Agreement is effective from the date first written above.</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It applies to all introductions made during its validity and remains enforceable for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24 months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after termination.</w:t>
      </w:r>
    </w:p>
    <w:p w:rsidR="00000000" w:rsidDel="00000000" w:rsidP="00000000" w:rsidRDefault="00000000" w:rsidRPr="00000000" w14:paraId="0000001B">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ookmark=id.nz4vozs55hws" w:id="5"/>
    <w:bookmarkEnd w:id="5"/>
    <w:p w:rsidR="00000000" w:rsidDel="00000000" w:rsidP="00000000" w:rsidRDefault="00000000" w:rsidRPr="00000000" w14:paraId="0000001C">
      <w:pPr>
        <w:pStyle w:val="Heading2"/>
        <w:rPr/>
      </w:pPr>
      <w:r w:rsidDel="00000000" w:rsidR="00000000" w:rsidRPr="00000000">
        <w:rPr>
          <w:b w:val="1"/>
          <w:bCs w:val="1"/>
          <w:rtl w:val="0"/>
        </w:rPr>
        <w:t xml:space="preserve">6. Governing Law &amp; Dispute Resolution</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Agreement shall be governed by and construed in accordance with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English Law</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dispute shall be referred to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London Arbitration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under the LMAA Rules, with one arbitrator appointed by each party and a third by the two so appointed.</w:t>
      </w:r>
    </w:p>
    <w:p w:rsidR="00000000" w:rsidDel="00000000" w:rsidP="00000000" w:rsidRDefault="00000000" w:rsidRPr="00000000" w14:paraId="0000001F">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ookmark=id.naisjfb42jfy" w:id="6"/>
    <w:bookmarkEnd w:id="6"/>
    <w:p w:rsidR="00000000" w:rsidDel="00000000" w:rsidP="00000000" w:rsidRDefault="00000000" w:rsidRPr="00000000" w14:paraId="00000020">
      <w:pPr>
        <w:pStyle w:val="Heading2"/>
        <w:rPr/>
      </w:pPr>
      <w:r w:rsidDel="00000000" w:rsidR="00000000" w:rsidRPr="00000000">
        <w:rPr>
          <w:b w:val="1"/>
          <w:bCs w:val="1"/>
          <w:rtl w:val="0"/>
        </w:rPr>
        <w:t xml:space="preserve">7. General Provisions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Agreement does not create a partnership or joint venture.</w:t>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amendments must be in writing and signed by both Parties.</w:t>
      </w:r>
    </w:p>
    <w:p w:rsidR="00000000" w:rsidDel="00000000" w:rsidP="00000000" w:rsidRDefault="00000000" w:rsidRPr="00000000" w14:paraId="0000002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Electronic copies and signatures shall be considered legally binding.</w:t>
      </w:r>
    </w:p>
    <w:p w:rsidR="00000000" w:rsidDel="00000000" w:rsidP="00000000" w:rsidRDefault="00000000" w:rsidRPr="00000000" w14:paraId="0000002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Signed for and on behalf of:</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Introducing Broker: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___________________________</w:t>
        <w:br w:type="textWrapping"/>
        <w:t xml:space="preserve">Name: ___________________</w:t>
        <w:br w:type="textWrapping"/>
        <w:t xml:space="preserve">Date: ____________________</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Receiving Broker: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___________________________</w:t>
        <w:br w:type="textWrapping"/>
        <w:t xml:space="preserve">Name: ___________________</w:t>
        <w:br w:type="textWrapping"/>
        <w:t xml:space="preserve">Date: ____________________</w:t>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Note: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This short-form NC/NDA is designed for fast execution between brokers before releasing vessel particulars or buyer mandates. For complex transactions, a longer-form agreement may be used.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Rule="auto"/>
      <w:jc w:val="center"/>
    </w:pPr>
    <w:rPr>
      <w:rFonts w:ascii="Play" w:cs="Play" w:eastAsia="Play" w:hAnsi="Play"/>
      <w:sz w:val="56"/>
      <w:szCs w:val="56"/>
    </w:rPr>
  </w:style>
  <w:style w:type="paragraph" w:styleId="Heading7">
    <w:name w:val="heading 7"/>
    <w:basedOn w:val="Normal"/>
    <w:next w:val="BodyText"/>
    <w:link w:val="Heading7Char"/>
    <w:uiPriority w:val="9"/>
    <w:semiHidden w:val="1"/>
    <w:unhideWhenUsed w:val="1"/>
    <w:qFormat w:val="1"/>
    <w:rsid w:val="00A10FD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BodyText"/>
    <w:link w:val="Heading8Char"/>
    <w:uiPriority w:val="9"/>
    <w:semiHidden w:val="1"/>
    <w:unhideWhenUsed w:val="1"/>
    <w:qFormat w:val="1"/>
    <w:rsid w:val="00A10FD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BodyText"/>
    <w:link w:val="Heading9Char"/>
    <w:uiPriority w:val="9"/>
    <w:semiHidden w:val="1"/>
    <w:unhideWhenUsed w:val="1"/>
    <w:qFormat w:val="1"/>
    <w:rsid w:val="00A10FD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character" w:styleId="TitleChar" w:customStyle="1">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10FD9"/>
    <w:rPr>
      <w:rFonts w:cstheme="majorBidi" w:eastAsiaTheme="majorEastAsia"/>
      <w:color w:val="595959" w:themeColor="text1" w:themeTint="0000A6"/>
      <w:spacing w:val="15"/>
      <w:sz w:val="28"/>
      <w:szCs w:val="28"/>
    </w:rPr>
  </w:style>
  <w:style w:type="paragraph" w:styleId="Author" w:customStyle="1">
    <w:name w:val="Author"/>
    <w:next w:val="BodyText"/>
    <w:qFormat w:val="1"/>
    <w:pPr>
      <w:keepNext w:val="1"/>
      <w:keepLines w:val="1"/>
      <w:jc w:val="center"/>
    </w:pPr>
  </w:style>
  <w:style w:type="paragraph" w:styleId="Date">
    <w:name w:val="Date"/>
    <w:next w:val="BodyText"/>
    <w:qFormat w:val="1"/>
    <w:pPr>
      <w:keepNext w:val="1"/>
      <w:keepLines w:val="1"/>
      <w:jc w:val="center"/>
    </w:pPr>
  </w:style>
  <w:style w:type="paragraph" w:styleId="AbstractTitle" w:customStyle="1">
    <w:name w:val="Abstract Title"/>
    <w:basedOn w:val="Normal"/>
    <w:next w:val="Abstract"/>
    <w:qFormat w:val="1"/>
    <w:pPr>
      <w:keepNext w:val="1"/>
      <w:keepLines w:val="1"/>
      <w:spacing w:after="0" w:before="300"/>
      <w:jc w:val="center"/>
    </w:pPr>
    <w:rPr>
      <w:b w:val="1"/>
      <w:sz w:val="20"/>
      <w:szCs w:val="20"/>
    </w:rPr>
  </w:style>
  <w:style w:type="paragraph" w:styleId="Abstract" w:customStyle="1">
    <w:name w:val="Abstract"/>
    <w:basedOn w:val="Normal"/>
    <w:next w:val="BodyText"/>
    <w:qFormat w:val="1"/>
    <w:pPr>
      <w:keepNext w:val="1"/>
      <w:keepLines w:val="1"/>
      <w:spacing w:after="300" w:before="100"/>
    </w:pPr>
    <w:rPr>
      <w:sz w:val="20"/>
      <w:szCs w:val="20"/>
    </w:rPr>
  </w:style>
  <w:style w:type="paragraph" w:styleId="Bibliography">
    <w:name w:val="Bibliography"/>
    <w:basedOn w:val="Normal"/>
    <w:qFormat w:val="1"/>
  </w:style>
  <w:style w:type="character" w:styleId="Heading1Char" w:customStyle="1">
    <w:name w:val="Heading 1 Char"/>
    <w:basedOn w:val="DefaultParagraphFont"/>
    <w:link w:val="Heading1"/>
    <w:uiPriority w:val="9"/>
    <w:rsid w:val="00A10FD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10FD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10FD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10FD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10FD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10FD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10FD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10FD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10FD9"/>
    <w:rPr>
      <w:rFonts w:cstheme="majorBidi" w:eastAsiaTheme="majorEastAsia"/>
      <w:color w:val="272727" w:themeColor="text1" w:themeTint="0000D8"/>
    </w:rPr>
  </w:style>
  <w:style w:type="paragraph" w:styleId="BlockText">
    <w:name w:val="Block Text"/>
    <w:basedOn w:val="BodyText"/>
    <w:next w:val="BodyText"/>
    <w:uiPriority w:val="9"/>
    <w:unhideWhenUsed w:val="1"/>
    <w:qFormat w:val="1"/>
    <w:pPr>
      <w:spacing w:after="100" w:before="100"/>
      <w:ind w:left="480" w:right="480"/>
    </w:pPr>
  </w:style>
  <w:style w:type="paragraph" w:styleId="FootnoteText">
    <w:name w:val="footnote text"/>
    <w:basedOn w:val="Normal"/>
    <w:uiPriority w:val="9"/>
    <w:unhideWhenUsed w:val="1"/>
    <w:qFormat w:val="1"/>
  </w:style>
  <w:style w:type="paragraph" w:styleId="FootnoteBlockText" w:customStyle="1">
    <w:name w:val="Footnote Block Text"/>
    <w:basedOn w:val="FootnoteText"/>
    <w:next w:val="FootnoteText"/>
    <w:uiPriority w:val="9"/>
    <w:unhideWhenUsed w:val="1"/>
    <w:qFormat w:val="1"/>
    <w:pPr>
      <w:spacing w:after="100" w:before="100"/>
      <w:ind w:left="480" w:right="480"/>
    </w:pPr>
  </w:style>
  <w:style w:type="table" w:styleId="Table" w:customStyle="1">
    <w:name w:val="Table"/>
    <w:semiHidden w:val="1"/>
    <w:unhideWhenUsed w:val="1"/>
    <w:qFormat w:val="1"/>
    <w:tblPr>
      <w:tblInd w:w="0.0" w:type="dxa"/>
      <w:tblCellMar>
        <w:top w:w="0.0" w:type="dxa"/>
        <w:left w:w="108.0" w:type="dxa"/>
        <w:bottom w:w="0.0" w:type="dxa"/>
        <w:right w:w="108.0" w:type="dxa"/>
      </w:tblCellMar>
    </w:tblPr>
    <w:tblStylePr w:type="firstRow">
      <w:tblPr>
        <w:jc w:val="left"/>
      </w:tblPr>
      <w:trPr>
        <w:jc w:val="left"/>
      </w:trPr>
      <w:tcPr>
        <w:tcBorders>
          <w:bottom w:color="auto" w:space="0" w:sz="0" w:val="single"/>
        </w:tcBorders>
        <w:vAlign w:val="bottom"/>
      </w:tcPr>
    </w:tblStyle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CaptionChar"/>
    <w:pPr>
      <w:spacing w:after="12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CaptionChar" w:customStyle="1">
    <w:name w:val="Caption Char"/>
    <w:basedOn w:val="DefaultParagraphFont"/>
    <w:link w:val="Caption"/>
  </w:style>
  <w:style w:type="character" w:styleId="VerbatimChar" w:customStyle="1">
    <w:name w:val="Verbatim Char"/>
    <w:basedOn w:val="CaptionChar"/>
    <w:link w:val="SourceCode"/>
    <w:rPr>
      <w:rFonts w:ascii="Consolas" w:hAnsi="Consolas"/>
      <w:sz w:val="22"/>
    </w:rPr>
  </w:style>
  <w:style w:type="character" w:styleId="SectionNumber" w:customStyle="1">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val="1"/>
    <w:qFormat w:val="1"/>
    <w:pPr>
      <w:spacing w:before="240" w:line="259" w:lineRule="auto"/>
      <w:outlineLvl w:val="9"/>
    </w:pPr>
  </w:style>
  <w:style w:type="paragraph" w:styleId="SourceCode" w:customStyle="1">
    <w:name w:val="Source Code"/>
    <w:basedOn w:val="Normal"/>
    <w:link w:val="VerbatimChar"/>
    <w:pPr>
      <w:wordWrap w:val="0"/>
    </w:pPr>
  </w:style>
  <w:style w:type="character" w:styleId="KeywordTok" w:customStyle="1">
    <w:name w:val="KeywordTok"/>
    <w:basedOn w:val="VerbatimChar"/>
    <w:rPr>
      <w:rFonts w:ascii="Consolas" w:hAnsi="Consolas"/>
      <w:b w:val="1"/>
      <w:color w:val="007020"/>
      <w:sz w:val="22"/>
    </w:rPr>
  </w:style>
  <w:style w:type="character" w:styleId="DataTypeTok" w:customStyle="1">
    <w:name w:val="DataTypeTok"/>
    <w:basedOn w:val="VerbatimChar"/>
    <w:rPr>
      <w:rFonts w:ascii="Consolas" w:hAnsi="Consolas"/>
      <w:color w:val="902000"/>
      <w:sz w:val="22"/>
    </w:rPr>
  </w:style>
  <w:style w:type="character" w:styleId="DecValTok" w:customStyle="1">
    <w:name w:val="DecValTok"/>
    <w:basedOn w:val="VerbatimChar"/>
    <w:rPr>
      <w:rFonts w:ascii="Consolas" w:hAnsi="Consolas"/>
      <w:color w:val="40a070"/>
      <w:sz w:val="22"/>
    </w:rPr>
  </w:style>
  <w:style w:type="character" w:styleId="BaseNTok" w:customStyle="1">
    <w:name w:val="BaseNTok"/>
    <w:basedOn w:val="VerbatimChar"/>
    <w:rPr>
      <w:rFonts w:ascii="Consolas" w:hAnsi="Consolas"/>
      <w:color w:val="40a070"/>
      <w:sz w:val="22"/>
    </w:rPr>
  </w:style>
  <w:style w:type="character" w:styleId="FloatTok" w:customStyle="1">
    <w:name w:val="FloatTok"/>
    <w:basedOn w:val="VerbatimChar"/>
    <w:rPr>
      <w:rFonts w:ascii="Consolas" w:hAnsi="Consolas"/>
      <w:color w:val="40a070"/>
      <w:sz w:val="22"/>
    </w:rPr>
  </w:style>
  <w:style w:type="character" w:styleId="ConstantTok" w:customStyle="1">
    <w:name w:val="ConstantTok"/>
    <w:basedOn w:val="VerbatimChar"/>
    <w:rPr>
      <w:rFonts w:ascii="Consolas" w:hAnsi="Consolas"/>
      <w:color w:val="880000"/>
      <w:sz w:val="22"/>
    </w:rPr>
  </w:style>
  <w:style w:type="character" w:styleId="CharTok" w:customStyle="1">
    <w:name w:val="CharTok"/>
    <w:basedOn w:val="VerbatimChar"/>
    <w:rPr>
      <w:rFonts w:ascii="Consolas" w:hAnsi="Consolas"/>
      <w:color w:val="4070a0"/>
      <w:sz w:val="22"/>
    </w:rPr>
  </w:style>
  <w:style w:type="character" w:styleId="SpecialCharTok" w:customStyle="1">
    <w:name w:val="SpecialCharTok"/>
    <w:basedOn w:val="VerbatimChar"/>
    <w:rPr>
      <w:rFonts w:ascii="Consolas" w:hAnsi="Consolas"/>
      <w:color w:val="4070a0"/>
      <w:sz w:val="22"/>
    </w:rPr>
  </w:style>
  <w:style w:type="character" w:styleId="StringTok" w:customStyle="1">
    <w:name w:val="StringTok"/>
    <w:basedOn w:val="VerbatimChar"/>
    <w:rPr>
      <w:rFonts w:ascii="Consolas" w:hAnsi="Consolas"/>
      <w:color w:val="4070a0"/>
      <w:sz w:val="22"/>
    </w:rPr>
  </w:style>
  <w:style w:type="character" w:styleId="VerbatimStringTok" w:customStyle="1">
    <w:name w:val="VerbatimStringTok"/>
    <w:basedOn w:val="VerbatimChar"/>
    <w:rPr>
      <w:rFonts w:ascii="Consolas" w:hAnsi="Consolas"/>
      <w:color w:val="4070a0"/>
      <w:sz w:val="22"/>
    </w:rPr>
  </w:style>
  <w:style w:type="character" w:styleId="SpecialStringTok" w:customStyle="1">
    <w:name w:val="SpecialStringTok"/>
    <w:basedOn w:val="VerbatimChar"/>
    <w:rPr>
      <w:rFonts w:ascii="Consolas" w:hAnsi="Consolas"/>
      <w:color w:val="bb6688"/>
      <w:sz w:val="22"/>
    </w:rPr>
  </w:style>
  <w:style w:type="character" w:styleId="ImportTok" w:customStyle="1">
    <w:name w:val="ImportTok"/>
    <w:basedOn w:val="VerbatimChar"/>
    <w:rPr>
      <w:rFonts w:ascii="Consolas" w:hAnsi="Consolas"/>
      <w:b w:val="1"/>
      <w:color w:val="008000"/>
      <w:sz w:val="22"/>
    </w:rPr>
  </w:style>
  <w:style w:type="character" w:styleId="CommentTok" w:customStyle="1">
    <w:name w:val="CommentTok"/>
    <w:basedOn w:val="VerbatimChar"/>
    <w:rPr>
      <w:rFonts w:ascii="Consolas" w:hAnsi="Consolas"/>
      <w:i w:val="1"/>
      <w:color w:val="60a0b0"/>
      <w:sz w:val="22"/>
    </w:rPr>
  </w:style>
  <w:style w:type="character" w:styleId="DocumentationTok" w:customStyle="1">
    <w:name w:val="DocumentationTok"/>
    <w:basedOn w:val="VerbatimChar"/>
    <w:rPr>
      <w:rFonts w:ascii="Consolas" w:hAnsi="Consolas"/>
      <w:i w:val="1"/>
      <w:color w:val="ba2121"/>
      <w:sz w:val="22"/>
    </w:rPr>
  </w:style>
  <w:style w:type="character" w:styleId="AnnotationTok" w:customStyle="1">
    <w:name w:val="AnnotationTok"/>
    <w:basedOn w:val="VerbatimChar"/>
    <w:rPr>
      <w:rFonts w:ascii="Consolas" w:hAnsi="Consolas"/>
      <w:b w:val="1"/>
      <w:i w:val="1"/>
      <w:color w:val="60a0b0"/>
      <w:sz w:val="22"/>
    </w:rPr>
  </w:style>
  <w:style w:type="character" w:styleId="CommentVarTok" w:customStyle="1">
    <w:name w:val="CommentVarTok"/>
    <w:basedOn w:val="VerbatimChar"/>
    <w:rPr>
      <w:rFonts w:ascii="Consolas" w:hAnsi="Consolas"/>
      <w:b w:val="1"/>
      <w:i w:val="1"/>
      <w:color w:val="60a0b0"/>
      <w:sz w:val="22"/>
    </w:rPr>
  </w:style>
  <w:style w:type="character" w:styleId="OtherTok" w:customStyle="1">
    <w:name w:val="OtherTok"/>
    <w:basedOn w:val="VerbatimChar"/>
    <w:rPr>
      <w:rFonts w:ascii="Consolas" w:hAnsi="Consolas"/>
      <w:color w:val="007020"/>
      <w:sz w:val="22"/>
    </w:rPr>
  </w:style>
  <w:style w:type="character" w:styleId="FunctionTok" w:customStyle="1">
    <w:name w:val="FunctionTok"/>
    <w:basedOn w:val="VerbatimChar"/>
    <w:rPr>
      <w:rFonts w:ascii="Consolas" w:hAnsi="Consolas"/>
      <w:color w:val="06287e"/>
      <w:sz w:val="22"/>
    </w:rPr>
  </w:style>
  <w:style w:type="character" w:styleId="VariableTok" w:customStyle="1">
    <w:name w:val="VariableTok"/>
    <w:basedOn w:val="VerbatimChar"/>
    <w:rPr>
      <w:rFonts w:ascii="Consolas" w:hAnsi="Consolas"/>
      <w:color w:val="19177c"/>
      <w:sz w:val="22"/>
    </w:rPr>
  </w:style>
  <w:style w:type="character" w:styleId="ControlFlowTok" w:customStyle="1">
    <w:name w:val="ControlFlowTok"/>
    <w:basedOn w:val="VerbatimChar"/>
    <w:rPr>
      <w:rFonts w:ascii="Consolas" w:hAnsi="Consolas"/>
      <w:b w:val="1"/>
      <w:color w:val="007020"/>
      <w:sz w:val="22"/>
    </w:rPr>
  </w:style>
  <w:style w:type="character" w:styleId="OperatorTok" w:customStyle="1">
    <w:name w:val="OperatorTok"/>
    <w:basedOn w:val="VerbatimChar"/>
    <w:rPr>
      <w:rFonts w:ascii="Consolas" w:hAnsi="Consolas"/>
      <w:color w:val="666666"/>
      <w:sz w:val="22"/>
    </w:rPr>
  </w:style>
  <w:style w:type="character" w:styleId="BuiltInTok" w:customStyle="1">
    <w:name w:val="BuiltInTok"/>
    <w:basedOn w:val="VerbatimChar"/>
    <w:rPr>
      <w:rFonts w:ascii="Consolas" w:hAnsi="Consolas"/>
      <w:color w:val="008000"/>
      <w:sz w:val="22"/>
    </w:rPr>
  </w:style>
  <w:style w:type="character" w:styleId="ExtensionTok" w:customStyle="1">
    <w:name w:val="ExtensionTok"/>
    <w:basedOn w:val="VerbatimChar"/>
    <w:rPr>
      <w:rFonts w:ascii="Consolas" w:hAnsi="Consolas"/>
      <w:sz w:val="22"/>
    </w:rPr>
  </w:style>
  <w:style w:type="character" w:styleId="PreprocessorTok" w:customStyle="1">
    <w:name w:val="PreprocessorTok"/>
    <w:basedOn w:val="VerbatimChar"/>
    <w:rPr>
      <w:rFonts w:ascii="Consolas" w:hAnsi="Consolas"/>
      <w:color w:val="bc7a00"/>
      <w:sz w:val="22"/>
    </w:rPr>
  </w:style>
  <w:style w:type="character" w:styleId="AttributeTok" w:customStyle="1">
    <w:name w:val="AttributeTok"/>
    <w:basedOn w:val="VerbatimChar"/>
    <w:rPr>
      <w:rFonts w:ascii="Consolas" w:hAnsi="Consolas"/>
      <w:color w:val="7d9029"/>
      <w:sz w:val="22"/>
    </w:rPr>
  </w:style>
  <w:style w:type="character" w:styleId="RegionMarkerTok" w:customStyle="1">
    <w:name w:val="RegionMarkerTok"/>
    <w:basedOn w:val="VerbatimChar"/>
    <w:rPr>
      <w:rFonts w:ascii="Consolas" w:hAnsi="Consolas"/>
      <w:sz w:val="22"/>
    </w:rPr>
  </w:style>
  <w:style w:type="character" w:styleId="InformationTok" w:customStyle="1">
    <w:name w:val="InformationTok"/>
    <w:basedOn w:val="VerbatimChar"/>
    <w:rPr>
      <w:rFonts w:ascii="Consolas" w:hAnsi="Consolas"/>
      <w:b w:val="1"/>
      <w:i w:val="1"/>
      <w:color w:val="60a0b0"/>
      <w:sz w:val="22"/>
    </w:rPr>
  </w:style>
  <w:style w:type="character" w:styleId="WarningTok" w:customStyle="1">
    <w:name w:val="WarningTok"/>
    <w:basedOn w:val="VerbatimChar"/>
    <w:rPr>
      <w:rFonts w:ascii="Consolas" w:hAnsi="Consolas"/>
      <w:b w:val="1"/>
      <w:i w:val="1"/>
      <w:color w:val="60a0b0"/>
      <w:sz w:val="22"/>
    </w:rPr>
  </w:style>
  <w:style w:type="character" w:styleId="AlertTok" w:customStyle="1">
    <w:name w:val="AlertTok"/>
    <w:basedOn w:val="VerbatimChar"/>
    <w:rPr>
      <w:rFonts w:ascii="Consolas" w:hAnsi="Consolas"/>
      <w:b w:val="1"/>
      <w:color w:val="ff0000"/>
      <w:sz w:val="22"/>
    </w:rPr>
  </w:style>
  <w:style w:type="character" w:styleId="ErrorTok" w:customStyle="1">
    <w:name w:val="ErrorTok"/>
    <w:basedOn w:val="VerbatimChar"/>
    <w:rPr>
      <w:rFonts w:ascii="Consolas" w:hAnsi="Consolas"/>
      <w:b w:val="1"/>
      <w:color w:val="ff0000"/>
      <w:sz w:val="22"/>
    </w:rPr>
  </w:style>
  <w:style w:type="character" w:styleId="NormalTok" w:customStyle="1">
    <w:name w:val="NormalTok"/>
    <w:basedOn w:val="VerbatimChar"/>
    <w:rPr>
      <w:rFonts w:ascii="Consolas" w:hAnsi="Consolas"/>
      <w:sz w:val="22"/>
    </w:rPr>
  </w:style>
  <w:style w:type="paragraph" w:styleId="Subtitle">
    <w:name w:val="Subtitle"/>
    <w:basedOn w:val="Normal"/>
    <w:next w:val="Normal"/>
    <w:pPr>
      <w:spacing w:after="80" w:lineRule="auto"/>
      <w:jc w:val="center"/>
    </w:pPr>
    <w:rPr>
      <w:rFonts w:ascii="Play" w:cs="Play" w:eastAsia="Play" w:hAnsi="Play"/>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sazshQWMO3ZycDMb7qghtNjsXg==">CgMxLjAyD2lkLjY4N254Mzlrc3EzdzIPaWQuZ3licjJzOW41am9vMg9pZC52cGxsOXBlZXNjaDgyD2lkLm83bnl5bWF1aG01ZTIPaWQucDhrNmEzbWFwdjUxMg9pZC5uejR2b3pzNTVod3MyD2lkLm5haXNqZmI0MmpmeTgAciExZXZBaDZmZkRjTmQtczJ1T3FQdmQyYnNMTWVFWjcwRWs=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2025-09-11T05:44:00Z</dcterms:created>
</cp:coreProperties>
</file>